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仿宋" w:cs="Times New Roman"/>
          <w:sz w:val="32"/>
          <w:szCs w:val="32"/>
          <w:highlight w:val="none"/>
        </w:rPr>
      </w:pPr>
      <w:r>
        <w:rPr>
          <w:rFonts w:hint="eastAsia" w:ascii="方正小标宋简体" w:hAnsi="方正小标宋简体" w:eastAsia="方正小标宋简体" w:cs="方正小标宋简体"/>
          <w:sz w:val="44"/>
          <w:szCs w:val="52"/>
          <w:highlight w:val="none"/>
        </w:rPr>
        <w:t>学术学位硕士研究生</w:t>
      </w:r>
      <w:r>
        <w:rPr>
          <w:rFonts w:hint="eastAsia" w:ascii="方正小标宋简体" w:hAnsi="方正小标宋简体" w:eastAsia="方正小标宋简体" w:cs="方正小标宋简体"/>
          <w:sz w:val="44"/>
          <w:szCs w:val="52"/>
          <w:highlight w:val="none"/>
          <w:lang w:val="en-US" w:eastAsia="zh-CN"/>
        </w:rPr>
        <w:t>论文</w:t>
      </w:r>
      <w:r>
        <w:rPr>
          <w:rFonts w:hint="eastAsia" w:ascii="方正小标宋简体" w:hAnsi="方正小标宋简体" w:eastAsia="方正小标宋简体" w:cs="方正小标宋简体"/>
          <w:sz w:val="44"/>
          <w:szCs w:val="52"/>
          <w:highlight w:val="none"/>
        </w:rPr>
        <w:t>答辩工作要求</w:t>
      </w:r>
    </w:p>
    <w:p>
      <w:pPr>
        <w:keepNext w:val="0"/>
        <w:keepLines w:val="0"/>
        <w:pageBreakBefore w:val="0"/>
        <w:widowControl w:val="0"/>
        <w:numPr>
          <w:ilvl w:val="0"/>
          <w:numId w:val="2"/>
        </w:numPr>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Cs/>
          <w:sz w:val="28"/>
          <w:szCs w:val="28"/>
          <w:highlight w:val="none"/>
        </w:rPr>
      </w:pPr>
      <w:r>
        <w:rPr>
          <w:rFonts w:hint="default" w:ascii="Times New Roman" w:hAnsi="Times New Roman" w:eastAsia="仿宋" w:cs="Times New Roman"/>
          <w:bCs/>
          <w:sz w:val="28"/>
          <w:szCs w:val="28"/>
          <w:highlight w:val="none"/>
        </w:rPr>
        <w:t>答辩委员会由3-5人单数组成，要求至少1/3成员为系外（校外、校内院外、院内外系）专家，并且原则上每个答辩组包含至少1名生物学学位评定分委员会委员。要求答辩委员在本学科领域有一定学术造诣且具有副教授及以上或相当职称。答辩学生导师可以担任答辩委员会成员，并有表决权，但不能担任答辩委员会主席（有指导教师参加答辩委员会的至少5人）</w:t>
      </w:r>
      <w:r>
        <w:rPr>
          <w:rFonts w:hint="eastAsia" w:ascii="Times New Roman" w:hAnsi="Times New Roman" w:eastAsia="仿宋" w:cs="Times New Roman"/>
          <w:bCs/>
          <w:sz w:val="28"/>
          <w:szCs w:val="28"/>
          <w:highlight w:val="none"/>
          <w:lang w:eastAsia="zh-CN"/>
        </w:rPr>
        <w:t>。</w:t>
      </w:r>
      <w:r>
        <w:rPr>
          <w:rFonts w:hint="default" w:ascii="Times New Roman" w:hAnsi="Times New Roman" w:eastAsia="仿宋" w:cs="Times New Roman"/>
          <w:bCs/>
          <w:sz w:val="28"/>
          <w:szCs w:val="28"/>
          <w:highlight w:val="none"/>
        </w:rPr>
        <w:t>答辩委员会设答辩秘书一人</w:t>
      </w:r>
      <w:r>
        <w:rPr>
          <w:rFonts w:hint="eastAsia" w:ascii="Times New Roman" w:hAnsi="Times New Roman" w:eastAsia="仿宋" w:cs="Times New Roman"/>
          <w:bCs/>
          <w:sz w:val="28"/>
          <w:szCs w:val="28"/>
          <w:highlight w:val="none"/>
          <w:lang w:eastAsia="zh-CN"/>
        </w:rPr>
        <w:t>，由中级及</w:t>
      </w:r>
      <w:bookmarkStart w:id="3" w:name="_GoBack"/>
      <w:bookmarkEnd w:id="3"/>
      <w:r>
        <w:rPr>
          <w:rFonts w:hint="eastAsia" w:ascii="Times New Roman" w:hAnsi="Times New Roman" w:eastAsia="仿宋" w:cs="Times New Roman"/>
          <w:bCs/>
          <w:sz w:val="28"/>
          <w:szCs w:val="28"/>
          <w:highlight w:val="none"/>
          <w:lang w:eastAsia="zh-CN"/>
        </w:rPr>
        <w:t>以上职称或具有博士学位的教师担任。</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Cs/>
          <w:sz w:val="28"/>
          <w:szCs w:val="28"/>
          <w:highlight w:val="none"/>
        </w:rPr>
      </w:pPr>
      <w:r>
        <w:rPr>
          <w:rFonts w:hint="default" w:ascii="Times New Roman" w:hAnsi="Times New Roman" w:eastAsia="仿宋" w:cs="Times New Roman"/>
          <w:bCs/>
          <w:sz w:val="28"/>
          <w:szCs w:val="28"/>
          <w:highlight w:val="none"/>
        </w:rPr>
        <w:t>答辩委员会名单由本学科学位评定分委员会批准。没有按照规定组成答辩委员会的，答辩结果无效。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sz w:val="28"/>
          <w:szCs w:val="28"/>
          <w:highlight w:val="none"/>
        </w:rPr>
      </w:pPr>
      <w:r>
        <w:rPr>
          <w:rFonts w:hint="default" w:ascii="Times New Roman" w:hAnsi="Times New Roman" w:eastAsia="仿宋" w:cs="Times New Roman"/>
          <w:sz w:val="28"/>
          <w:szCs w:val="28"/>
          <w:highlight w:val="none"/>
        </w:rPr>
        <w:t>2</w:t>
      </w:r>
      <w:r>
        <w:rPr>
          <w:rFonts w:hint="eastAsia" w:ascii="Times New Roman" w:hAnsi="Times New Roman" w:eastAsia="仿宋" w:cs="Times New Roman"/>
          <w:sz w:val="28"/>
          <w:szCs w:val="28"/>
          <w:highlight w:val="none"/>
          <w:lang w:eastAsia="zh-CN"/>
        </w:rPr>
        <w:t>.</w:t>
      </w:r>
      <w:r>
        <w:rPr>
          <w:rFonts w:hint="eastAsia" w:ascii="Times New Roman" w:hAnsi="Times New Roman" w:eastAsia="仿宋" w:cs="Times New Roman"/>
          <w:sz w:val="28"/>
          <w:szCs w:val="28"/>
          <w:highlight w:val="none"/>
          <w:lang w:val="en-US" w:eastAsia="zh-CN"/>
        </w:rPr>
        <w:t xml:space="preserve"> </w:t>
      </w:r>
      <w:r>
        <w:rPr>
          <w:rFonts w:hint="default" w:ascii="Times New Roman" w:hAnsi="Times New Roman" w:eastAsia="仿宋" w:cs="Times New Roman"/>
          <w:sz w:val="28"/>
          <w:szCs w:val="28"/>
          <w:highlight w:val="none"/>
        </w:rPr>
        <w:t>论文答辩除保密外，均公开举行。答辩人员、论文题目、时间、地点、程序安排及答辩委员会组成等信息要提前在学院网站向社会公开。</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cs="Times New Roman"/>
          <w:sz w:val="28"/>
          <w:szCs w:val="28"/>
          <w:highlight w:val="none"/>
        </w:rPr>
      </w:pPr>
      <w:r>
        <w:rPr>
          <w:rFonts w:hint="eastAsia" w:ascii="Times New Roman" w:hAnsi="Times New Roman" w:eastAsia="仿宋" w:cs="Times New Roman"/>
          <w:sz w:val="28"/>
          <w:szCs w:val="28"/>
          <w:highlight w:val="none"/>
          <w:lang w:val="en-US" w:eastAsia="zh-CN"/>
        </w:rPr>
        <w:t>3. 论文</w:t>
      </w:r>
      <w:r>
        <w:rPr>
          <w:rFonts w:hint="default" w:ascii="Times New Roman" w:hAnsi="Times New Roman" w:eastAsia="仿宋" w:cs="Times New Roman"/>
          <w:sz w:val="28"/>
          <w:szCs w:val="28"/>
          <w:highlight w:val="none"/>
        </w:rPr>
        <w:t>答辩委员会发扬学术民主，严格把关，以不记名投票方式，三分之二</w:t>
      </w:r>
      <w:r>
        <w:rPr>
          <w:rFonts w:hint="eastAsia" w:ascii="Times New Roman" w:hAnsi="Times New Roman" w:eastAsia="仿宋" w:cs="Times New Roman"/>
          <w:sz w:val="28"/>
          <w:szCs w:val="28"/>
          <w:highlight w:val="none"/>
          <w:lang w:val="en-US" w:eastAsia="zh-CN"/>
        </w:rPr>
        <w:t>及以上</w:t>
      </w:r>
      <w:r>
        <w:rPr>
          <w:rFonts w:hint="default" w:ascii="Times New Roman" w:hAnsi="Times New Roman" w:eastAsia="仿宋" w:cs="Times New Roman"/>
          <w:sz w:val="28"/>
          <w:szCs w:val="28"/>
          <w:highlight w:val="none"/>
        </w:rPr>
        <w:t>委员赞成方为通过答辩</w:t>
      </w:r>
      <w:r>
        <w:rPr>
          <w:rFonts w:hint="eastAsia" w:ascii="Times New Roman" w:hAnsi="Times New Roman" w:eastAsia="仿宋" w:cs="Times New Roman"/>
          <w:sz w:val="28"/>
          <w:szCs w:val="28"/>
          <w:highlight w:val="none"/>
          <w:lang w:eastAsia="zh-CN"/>
        </w:rPr>
        <w:t>。</w:t>
      </w:r>
      <w:r>
        <w:rPr>
          <w:rFonts w:hint="default" w:ascii="Times New Roman" w:hAnsi="Times New Roman" w:eastAsia="仿宋" w:cs="Times New Roman"/>
          <w:sz w:val="28"/>
          <w:szCs w:val="28"/>
          <w:highlight w:val="none"/>
        </w:rPr>
        <w:t>决议经答辩委员会主席签字</w:t>
      </w:r>
      <w:r>
        <w:rPr>
          <w:rFonts w:hint="eastAsia" w:ascii="Times New Roman" w:hAnsi="Times New Roman" w:eastAsia="仿宋" w:cs="Times New Roman"/>
          <w:sz w:val="28"/>
          <w:szCs w:val="28"/>
          <w:highlight w:val="none"/>
          <w:lang w:val="en-US" w:eastAsia="zh-CN"/>
        </w:rPr>
        <w:t>后</w:t>
      </w:r>
      <w:r>
        <w:rPr>
          <w:rFonts w:hint="default" w:ascii="Times New Roman" w:hAnsi="Times New Roman" w:eastAsia="仿宋" w:cs="Times New Roman"/>
          <w:sz w:val="28"/>
          <w:szCs w:val="28"/>
          <w:highlight w:val="none"/>
        </w:rPr>
        <w:t>，报学位评定分委员会。论文答辩过程中答辩秘书应进行详细记录。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sz w:val="28"/>
          <w:szCs w:val="28"/>
          <w:highlight w:val="none"/>
        </w:rPr>
      </w:pPr>
      <w:r>
        <w:rPr>
          <w:rFonts w:hint="default" w:ascii="Times New Roman" w:hAnsi="Times New Roman" w:eastAsia="仿宋" w:cs="Times New Roman"/>
          <w:sz w:val="28"/>
          <w:szCs w:val="28"/>
          <w:highlight w:val="none"/>
        </w:rPr>
        <w:t>出席论文答辩会的委员不够规定的最低人数时，论文答辩应改期进行；表决时，未出席委员不得会外或委托他人或以通讯的方式投票。</w:t>
      </w:r>
      <w:bookmarkStart w:id="0" w:name="_Hlk133573381"/>
    </w:p>
    <w:p>
      <w:pPr>
        <w:keepNext w:val="0"/>
        <w:keepLines w:val="0"/>
        <w:pageBreakBefore w:val="0"/>
        <w:widowControl w:val="0"/>
        <w:numPr>
          <w:ilvl w:val="0"/>
          <w:numId w:val="3"/>
        </w:numPr>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val="0"/>
          <w:sz w:val="28"/>
          <w:szCs w:val="28"/>
          <w:highlight w:val="none"/>
        </w:rPr>
      </w:pPr>
      <w:r>
        <w:rPr>
          <w:rFonts w:hint="default" w:ascii="Times New Roman" w:hAnsi="Times New Roman" w:eastAsia="仿宋" w:cs="Times New Roman"/>
          <w:b w:val="0"/>
          <w:bCs w:val="0"/>
          <w:sz w:val="28"/>
          <w:szCs w:val="28"/>
          <w:highlight w:val="none"/>
        </w:rPr>
        <w:t>论文答辩应</w:t>
      </w:r>
      <w:r>
        <w:rPr>
          <w:rFonts w:hint="eastAsia" w:ascii="Times New Roman" w:hAnsi="Times New Roman" w:eastAsia="仿宋" w:cs="Times New Roman"/>
          <w:b w:val="0"/>
          <w:bCs w:val="0"/>
          <w:sz w:val="28"/>
          <w:szCs w:val="28"/>
          <w:highlight w:val="none"/>
          <w:lang w:val="en-US" w:eastAsia="zh-CN"/>
        </w:rPr>
        <w:t>采取</w:t>
      </w:r>
      <w:r>
        <w:rPr>
          <w:rFonts w:hint="default" w:ascii="Times New Roman" w:hAnsi="Times New Roman" w:eastAsia="仿宋" w:cs="Times New Roman"/>
          <w:b w:val="0"/>
          <w:bCs w:val="0"/>
          <w:sz w:val="28"/>
          <w:szCs w:val="28"/>
          <w:highlight w:val="none"/>
        </w:rPr>
        <w:t>线下形式，在南开大学校内进行。</w:t>
      </w:r>
    </w:p>
    <w:p>
      <w:pPr>
        <w:keepNext w:val="0"/>
        <w:keepLines w:val="0"/>
        <w:pageBreakBefore w:val="0"/>
        <w:widowControl w:val="0"/>
        <w:numPr>
          <w:ilvl w:val="0"/>
          <w:numId w:val="3"/>
        </w:numPr>
        <w:kinsoku/>
        <w:wordWrap/>
        <w:overflowPunct/>
        <w:topLinePunct w:val="0"/>
        <w:autoSpaceDE/>
        <w:autoSpaceDN/>
        <w:bidi w:val="0"/>
        <w:adjustRightInd/>
        <w:snapToGrid/>
        <w:ind w:firstLine="560" w:firstLineChars="200"/>
        <w:textAlignment w:val="auto"/>
        <w:rPr>
          <w:rFonts w:hint="default" w:ascii="Times New Roman" w:hAnsi="Times New Roman" w:eastAsia="仿宋" w:cs="Times New Roman"/>
          <w:b w:val="0"/>
          <w:bCs w:val="0"/>
          <w:sz w:val="28"/>
          <w:szCs w:val="28"/>
          <w:highlight w:val="none"/>
        </w:rPr>
      </w:pPr>
      <w:r>
        <w:rPr>
          <w:rFonts w:hint="eastAsia" w:eastAsia="仿宋" w:cs="Times New Roman"/>
          <w:b w:val="0"/>
          <w:bCs w:val="0"/>
          <w:sz w:val="28"/>
          <w:szCs w:val="28"/>
          <w:highlight w:val="none"/>
          <w:lang w:val="en-US" w:eastAsia="zh-CN"/>
        </w:rPr>
        <w:t>答辩组需留存每场答辩完整录音或录像资料交教学办存档。</w:t>
      </w:r>
    </w:p>
    <w:bookmarkEnd w:id="0"/>
    <w:p>
      <w:pPr>
        <w:rPr>
          <w:sz w:val="28"/>
          <w:szCs w:val="28"/>
        </w:rPr>
        <w:sectPr>
          <w:pgSz w:w="11906" w:h="16838"/>
          <w:pgMar w:top="2098" w:right="1474" w:bottom="1984" w:left="1587" w:header="851" w:footer="992" w:gutter="0"/>
          <w:cols w:space="0" w:num="1"/>
          <w:rtlGutter w:val="0"/>
          <w:docGrid w:type="lines" w:linePitch="579" w:charSpace="0"/>
        </w:sectPr>
      </w:pPr>
    </w:p>
    <w:p>
      <w:pPr>
        <w:pStyle w:val="2"/>
        <w:keepNext/>
        <w:keepLines/>
        <w:pageBreakBefore w:val="0"/>
        <w:widowControl w:val="0"/>
        <w:numPr>
          <w:ilvl w:val="0"/>
          <w:numId w:val="0"/>
        </w:numPr>
        <w:kinsoku/>
        <w:wordWrap/>
        <w:overflowPunct/>
        <w:topLinePunct w:val="0"/>
        <w:autoSpaceDE/>
        <w:autoSpaceDN/>
        <w:bidi w:val="0"/>
        <w:adjustRightInd/>
        <w:snapToGrid/>
        <w:spacing w:before="0" w:after="0" w:line="240" w:lineRule="auto"/>
        <w:jc w:val="center"/>
        <w:textAlignment w:val="auto"/>
        <w:rPr>
          <w:rFonts w:ascii="黑体" w:hAnsi="黑体" w:eastAsia="黑体" w:cs="黑体"/>
          <w:b w:val="0"/>
          <w:bCs/>
          <w:sz w:val="36"/>
          <w:szCs w:val="21"/>
        </w:rPr>
      </w:pPr>
      <w:bookmarkStart w:id="1" w:name="_Toc13799"/>
      <w:r>
        <w:rPr>
          <w:rFonts w:hint="eastAsia" w:ascii="方正小标宋简体" w:hAnsi="方正小标宋简体" w:eastAsia="方正小标宋简体" w:cs="方正小标宋简体"/>
          <w:b w:val="0"/>
          <w:bCs/>
          <w:highlight w:val="none"/>
        </w:rPr>
        <w:t>南开大学硕士研究生论文答辩程序</w:t>
      </w:r>
      <w:bookmarkEnd w:id="1"/>
    </w:p>
    <w:p>
      <w:pPr>
        <w:spacing w:line="570" w:lineRule="exact"/>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highlight w:val="none"/>
        </w:rPr>
        <w:t>为有效促进我校硕士研究生毕业（学位）论文质量的提高，确保硕士生毕业（学位）论文答辩工作顺利进行，现对硕士生毕业（学位）论文</w:t>
      </w:r>
      <w:r>
        <w:rPr>
          <w:rFonts w:hint="eastAsia" w:ascii="仿宋" w:hAnsi="仿宋" w:eastAsia="仿宋" w:cs="仿宋"/>
          <w:color w:val="000000"/>
          <w:kern w:val="0"/>
          <w:sz w:val="32"/>
          <w:szCs w:val="32"/>
        </w:rPr>
        <w:t>答辩程序做进一步规范，答辩会具体程序如下：</w:t>
      </w:r>
    </w:p>
    <w:p>
      <w:pPr>
        <w:tabs>
          <w:tab w:val="left" w:pos="0"/>
        </w:tabs>
        <w:spacing w:line="570" w:lineRule="exact"/>
        <w:ind w:firstLine="640" w:firstLineChars="200"/>
        <w:rPr>
          <w:rFonts w:ascii="仿宋" w:hAnsi="仿宋" w:eastAsia="仿宋" w:cs="仿宋"/>
          <w:sz w:val="32"/>
          <w:szCs w:val="32"/>
        </w:rPr>
      </w:pPr>
      <w:r>
        <w:rPr>
          <w:rFonts w:hint="eastAsia" w:ascii="Times New Roman" w:hAnsi="Times New Roman" w:eastAsia="仿宋"/>
          <w:sz w:val="32"/>
          <w:szCs w:val="32"/>
          <w:highlight w:val="none"/>
        </w:rPr>
        <w:t>1. 宣读答辩程序与规则。答辩开始后，</w:t>
      </w:r>
      <w:r>
        <w:rPr>
          <w:rFonts w:hint="eastAsia" w:ascii="仿宋" w:hAnsi="仿宋" w:eastAsia="仿宋" w:cs="仿宋"/>
          <w:sz w:val="32"/>
          <w:szCs w:val="32"/>
          <w:highlight w:val="none"/>
        </w:rPr>
        <w:t>答辩委员会主席主持答辩会议，宣读答</w:t>
      </w:r>
      <w:r>
        <w:rPr>
          <w:rFonts w:hint="eastAsia" w:ascii="仿宋" w:hAnsi="仿宋" w:eastAsia="仿宋" w:cs="仿宋"/>
          <w:sz w:val="32"/>
          <w:szCs w:val="32"/>
        </w:rPr>
        <w:t>辩委员会组成、答辩程序和规则，并要求答辩秘书做好记录工作。</w:t>
      </w:r>
    </w:p>
    <w:p>
      <w:pPr>
        <w:tabs>
          <w:tab w:val="left" w:pos="0"/>
        </w:tabs>
        <w:spacing w:line="570" w:lineRule="exact"/>
        <w:ind w:firstLine="640" w:firstLineChars="200"/>
        <w:rPr>
          <w:rFonts w:ascii="仿宋" w:hAnsi="仿宋" w:eastAsia="仿宋" w:cs="仿宋"/>
          <w:sz w:val="32"/>
          <w:szCs w:val="32"/>
        </w:rPr>
      </w:pPr>
      <w:r>
        <w:rPr>
          <w:rFonts w:ascii="Times New Roman" w:hAnsi="Times New Roman" w:eastAsia="仿宋"/>
          <w:sz w:val="32"/>
          <w:szCs w:val="32"/>
        </w:rPr>
        <w:t>2</w:t>
      </w:r>
      <w:r>
        <w:rPr>
          <w:rFonts w:hint="eastAsia" w:ascii="Times New Roman" w:hAnsi="Times New Roman" w:eastAsia="仿宋"/>
          <w:sz w:val="32"/>
          <w:szCs w:val="32"/>
          <w:lang w:eastAsia="zh-CN"/>
        </w:rPr>
        <w:t>.</w:t>
      </w:r>
      <w:r>
        <w:rPr>
          <w:rFonts w:hint="eastAsia" w:ascii="Times New Roman" w:hAnsi="Times New Roman" w:eastAsia="仿宋"/>
          <w:sz w:val="32"/>
          <w:szCs w:val="32"/>
          <w:lang w:val="en-US" w:eastAsia="zh-CN"/>
        </w:rPr>
        <w:t xml:space="preserve"> </w:t>
      </w:r>
      <w:r>
        <w:rPr>
          <w:rFonts w:hint="eastAsia" w:ascii="Times New Roman" w:hAnsi="Times New Roman" w:eastAsia="仿宋"/>
          <w:sz w:val="32"/>
          <w:szCs w:val="32"/>
          <w:highlight w:val="none"/>
        </w:rPr>
        <w:t>介绍答辩人基本情况。</w:t>
      </w:r>
      <w:r>
        <w:rPr>
          <w:rFonts w:hint="eastAsia" w:ascii="仿宋" w:hAnsi="仿宋" w:eastAsia="仿宋" w:cs="仿宋"/>
          <w:sz w:val="32"/>
          <w:szCs w:val="32"/>
          <w:highlight w:val="none"/>
        </w:rPr>
        <w:t>由</w:t>
      </w:r>
      <w:r>
        <w:rPr>
          <w:rFonts w:hint="eastAsia" w:ascii="仿宋" w:hAnsi="仿宋" w:eastAsia="仿宋" w:cs="仿宋"/>
          <w:sz w:val="32"/>
          <w:szCs w:val="32"/>
        </w:rPr>
        <w:t>导师（导师未参加答辩的可由答辩秘书）介绍答辩人的基本情况，包括学习经历、论文题目、课程学习与考试成绩、科学研究、学术活动及撰写论文等。</w:t>
      </w:r>
    </w:p>
    <w:p>
      <w:pPr>
        <w:tabs>
          <w:tab w:val="left" w:pos="0"/>
        </w:tabs>
        <w:spacing w:line="570" w:lineRule="exact"/>
        <w:ind w:firstLine="640" w:firstLineChars="200"/>
        <w:rPr>
          <w:rFonts w:hint="default" w:ascii="Times New Roman" w:hAnsi="Times New Roman" w:eastAsia="仿宋" w:cs="Times New Roman"/>
          <w:dstrike/>
          <w:kern w:val="0"/>
          <w:sz w:val="32"/>
          <w:szCs w:val="32"/>
        </w:rPr>
      </w:pPr>
      <w:r>
        <w:rPr>
          <w:rFonts w:ascii="Times New Roman" w:hAnsi="Times New Roman" w:eastAsia="仿宋"/>
          <w:sz w:val="32"/>
          <w:szCs w:val="32"/>
        </w:rPr>
        <w:t>3</w:t>
      </w:r>
      <w:r>
        <w:rPr>
          <w:rFonts w:hint="eastAsia" w:ascii="Times New Roman" w:hAnsi="Times New Roman" w:eastAsia="仿宋"/>
          <w:sz w:val="32"/>
          <w:szCs w:val="32"/>
          <w:lang w:val="en-US" w:eastAsia="zh-CN"/>
        </w:rPr>
        <w:t xml:space="preserve">. </w:t>
      </w:r>
      <w:r>
        <w:rPr>
          <w:rFonts w:hint="eastAsia" w:ascii="Times New Roman" w:hAnsi="Times New Roman" w:eastAsia="仿宋"/>
          <w:sz w:val="32"/>
          <w:szCs w:val="32"/>
          <w:highlight w:val="none"/>
        </w:rPr>
        <w:t>答辩陈述与问答。</w:t>
      </w:r>
      <w:r>
        <w:rPr>
          <w:rFonts w:hint="eastAsia" w:ascii="仿宋" w:hAnsi="仿宋" w:eastAsia="仿宋" w:cs="仿宋"/>
          <w:sz w:val="32"/>
          <w:szCs w:val="32"/>
          <w:highlight w:val="none"/>
        </w:rPr>
        <w:t>由答辩人</w:t>
      </w:r>
      <w:r>
        <w:rPr>
          <w:rFonts w:hint="eastAsia" w:ascii="仿宋" w:hAnsi="仿宋" w:eastAsia="仿宋" w:cs="仿宋"/>
          <w:sz w:val="32"/>
          <w:szCs w:val="32"/>
          <w:highlight w:val="none"/>
          <w:lang w:val="en-US" w:eastAsia="zh-CN"/>
        </w:rPr>
        <w:t>汇报</w:t>
      </w:r>
      <w:r>
        <w:rPr>
          <w:rFonts w:hint="eastAsia" w:ascii="仿宋" w:hAnsi="仿宋" w:eastAsia="仿宋" w:cs="仿宋"/>
          <w:sz w:val="32"/>
          <w:szCs w:val="32"/>
          <w:highlight w:val="none"/>
        </w:rPr>
        <w:t>论文主要内容</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并回答答辩委员</w:t>
      </w:r>
      <w:r>
        <w:rPr>
          <w:rFonts w:hint="eastAsia" w:ascii="仿宋" w:hAnsi="仿宋" w:eastAsia="仿宋" w:cs="仿宋"/>
          <w:sz w:val="32"/>
          <w:szCs w:val="32"/>
          <w:highlight w:val="none"/>
          <w:lang w:val="en-US" w:eastAsia="zh-CN"/>
        </w:rPr>
        <w:t>会委员的提问</w:t>
      </w:r>
      <w:r>
        <w:rPr>
          <w:rFonts w:hint="eastAsia" w:ascii="仿宋" w:hAnsi="仿宋" w:eastAsia="仿宋" w:cs="仿宋"/>
          <w:sz w:val="32"/>
          <w:szCs w:val="32"/>
          <w:highlight w:val="none"/>
          <w:lang w:eastAsia="zh-CN"/>
        </w:rPr>
        <w:t>，</w:t>
      </w:r>
      <w:r>
        <w:rPr>
          <w:rFonts w:hint="eastAsia" w:ascii="仿宋" w:hAnsi="仿宋" w:eastAsia="仿宋" w:cs="仿宋"/>
          <w:b/>
          <w:bCs/>
          <w:sz w:val="32"/>
          <w:szCs w:val="32"/>
          <w:highlight w:val="none"/>
          <w:lang w:val="en-US" w:eastAsia="zh-CN"/>
        </w:rPr>
        <w:t>答辩时间</w:t>
      </w:r>
      <w:r>
        <w:rPr>
          <w:rFonts w:hint="default" w:ascii="Times New Roman" w:hAnsi="Times New Roman" w:eastAsia="仿宋" w:cs="Times New Roman"/>
          <w:b/>
          <w:bCs/>
          <w:sz w:val="32"/>
          <w:szCs w:val="32"/>
          <w:highlight w:val="none"/>
          <w:lang w:val="en-US" w:eastAsia="zh-CN"/>
        </w:rPr>
        <w:t>不少于20分钟</w:t>
      </w:r>
      <w:r>
        <w:rPr>
          <w:rFonts w:hint="default" w:ascii="Times New Roman" w:hAnsi="Times New Roman" w:eastAsia="仿宋" w:cs="Times New Roman"/>
          <w:sz w:val="32"/>
          <w:szCs w:val="32"/>
        </w:rPr>
        <w:t>。</w:t>
      </w:r>
    </w:p>
    <w:p>
      <w:pPr>
        <w:tabs>
          <w:tab w:val="left" w:pos="0"/>
        </w:tabs>
        <w:spacing w:line="570" w:lineRule="exact"/>
        <w:ind w:firstLine="640" w:firstLineChars="200"/>
        <w:rPr>
          <w:rFonts w:ascii="仿宋" w:hAnsi="仿宋" w:eastAsia="仿宋" w:cs="仿宋"/>
          <w:kern w:val="0"/>
          <w:sz w:val="32"/>
          <w:szCs w:val="32"/>
        </w:rPr>
      </w:pPr>
      <w:r>
        <w:rPr>
          <w:rFonts w:ascii="Times New Roman" w:hAnsi="Times New Roman" w:eastAsia="仿宋"/>
          <w:kern w:val="0"/>
          <w:sz w:val="32"/>
          <w:szCs w:val="32"/>
        </w:rPr>
        <w:t xml:space="preserve">4. </w:t>
      </w:r>
      <w:r>
        <w:rPr>
          <w:rFonts w:ascii="Times New Roman" w:hAnsi="Times New Roman" w:eastAsia="仿宋"/>
          <w:kern w:val="0"/>
          <w:sz w:val="32"/>
          <w:szCs w:val="32"/>
          <w:highlight w:val="none"/>
        </w:rPr>
        <w:t>组</w:t>
      </w:r>
      <w:r>
        <w:rPr>
          <w:rFonts w:hint="eastAsia" w:ascii="仿宋" w:hAnsi="仿宋" w:eastAsia="仿宋" w:cs="仿宋"/>
          <w:kern w:val="0"/>
          <w:sz w:val="32"/>
          <w:szCs w:val="32"/>
          <w:highlight w:val="none"/>
        </w:rPr>
        <w:t>织讨论与答辩投票。答辩陈述及问答结束后，</w:t>
      </w:r>
      <w:r>
        <w:rPr>
          <w:rFonts w:hint="eastAsia" w:ascii="仿宋" w:hAnsi="仿宋" w:eastAsia="仿宋" w:cs="仿宋"/>
          <w:kern w:val="0"/>
          <w:sz w:val="32"/>
          <w:szCs w:val="32"/>
        </w:rPr>
        <w:t>答辩人和与会者退场，答辩委员会组织内部会议。答辩秘书宣读汇总的同行专家对毕业</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学位</w:t>
      </w:r>
      <w:r>
        <w:rPr>
          <w:rFonts w:hint="eastAsia" w:ascii="仿宋" w:hAnsi="仿宋" w:eastAsia="仿宋" w:cs="仿宋"/>
          <w:kern w:val="0"/>
          <w:sz w:val="32"/>
          <w:szCs w:val="32"/>
          <w:highlight w:val="none"/>
        </w:rPr>
        <w:t>）</w:t>
      </w:r>
      <w:r>
        <w:rPr>
          <w:rFonts w:hint="eastAsia" w:ascii="仿宋" w:hAnsi="仿宋" w:eastAsia="仿宋" w:cs="仿宋"/>
          <w:kern w:val="0"/>
          <w:sz w:val="32"/>
          <w:szCs w:val="32"/>
        </w:rPr>
        <w:t>论文的评阅意见，答辩委员会对毕业（学位）论文的学术水平和答辩情况进行评议和充分讨论，采用无记名投票的方式对是否通过答辩及是否建议授予学位进行表决，同意票数达全体委员的三分之二</w:t>
      </w:r>
      <w:r>
        <w:rPr>
          <w:rFonts w:hint="eastAsia" w:ascii="仿宋" w:hAnsi="仿宋" w:eastAsia="仿宋" w:cs="仿宋"/>
          <w:kern w:val="0"/>
          <w:sz w:val="32"/>
          <w:szCs w:val="32"/>
          <w:highlight w:val="none"/>
          <w:lang w:val="en-US" w:eastAsia="zh-CN"/>
        </w:rPr>
        <w:t>及以上</w:t>
      </w:r>
      <w:r>
        <w:rPr>
          <w:rFonts w:hint="eastAsia" w:ascii="仿宋" w:hAnsi="仿宋" w:eastAsia="仿宋" w:cs="仿宋"/>
          <w:kern w:val="0"/>
          <w:sz w:val="32"/>
          <w:szCs w:val="32"/>
        </w:rPr>
        <w:t>为通过。</w:t>
      </w:r>
      <w:r>
        <w:rPr>
          <w:rFonts w:hint="eastAsia" w:ascii="仿宋" w:hAnsi="仿宋" w:eastAsia="仿宋" w:cs="仿宋"/>
          <w:kern w:val="0"/>
          <w:sz w:val="32"/>
          <w:szCs w:val="32"/>
          <w:lang w:val="en-US" w:eastAsia="zh-CN"/>
        </w:rPr>
        <w:t>答辩委员</w:t>
      </w:r>
      <w:r>
        <w:rPr>
          <w:rFonts w:hint="eastAsia" w:ascii="仿宋" w:hAnsi="仿宋" w:eastAsia="仿宋" w:cs="仿宋"/>
          <w:kern w:val="0"/>
          <w:sz w:val="32"/>
          <w:szCs w:val="32"/>
        </w:rPr>
        <w:t>还应对论文进行评分。</w:t>
      </w:r>
    </w:p>
    <w:p>
      <w:pPr>
        <w:tabs>
          <w:tab w:val="left" w:pos="0"/>
        </w:tabs>
        <w:spacing w:line="570" w:lineRule="exact"/>
        <w:ind w:firstLine="640" w:firstLineChars="200"/>
        <w:rPr>
          <w:rFonts w:ascii="Times New Roman" w:hAnsi="Times New Roman" w:eastAsia="仿宋"/>
          <w:dstrike/>
          <w:kern w:val="0"/>
          <w:sz w:val="32"/>
          <w:szCs w:val="32"/>
          <w:highlight w:val="none"/>
        </w:rPr>
      </w:pPr>
      <w:r>
        <w:rPr>
          <w:rFonts w:hint="eastAsia" w:ascii="Times New Roman" w:hAnsi="Times New Roman" w:eastAsia="仿宋"/>
          <w:kern w:val="0"/>
          <w:sz w:val="32"/>
          <w:szCs w:val="32"/>
          <w:highlight w:val="none"/>
        </w:rPr>
        <w:t>5. 宣布表决结果与决议。答辩秘书通知答辩人和与会者回到会场，由答辩委员会主席宣布表决结果，宣读答辩委员会决议。</w:t>
      </w:r>
    </w:p>
    <w:p>
      <w:pPr>
        <w:ind w:firstLine="640" w:firstLineChars="200"/>
        <w:rPr>
          <w:rFonts w:hint="eastAsia" w:ascii="仿宋" w:hAnsi="仿宋" w:eastAsia="仿宋" w:cs="仿宋"/>
          <w:sz w:val="32"/>
          <w:szCs w:val="32"/>
        </w:rPr>
        <w:sectPr>
          <w:pgSz w:w="11906" w:h="16838"/>
          <w:pgMar w:top="1587" w:right="1474" w:bottom="1587" w:left="1474" w:header="851" w:footer="992" w:gutter="0"/>
          <w:cols w:space="0" w:num="1"/>
          <w:rtlGutter w:val="0"/>
          <w:docGrid w:type="lines" w:linePitch="579" w:charSpace="0"/>
        </w:sectPr>
      </w:pPr>
      <w:r>
        <w:rPr>
          <w:rFonts w:hint="eastAsia" w:ascii="Times New Roman" w:hAnsi="Times New Roman" w:eastAsia="仿宋"/>
          <w:kern w:val="0"/>
          <w:sz w:val="32"/>
          <w:szCs w:val="32"/>
          <w:highlight w:val="none"/>
        </w:rPr>
        <w:t>6</w:t>
      </w:r>
      <w:r>
        <w:rPr>
          <w:rFonts w:hint="eastAsia" w:ascii="Times New Roman" w:hAnsi="Times New Roman" w:eastAsia="仿宋"/>
          <w:kern w:val="0"/>
          <w:sz w:val="32"/>
          <w:szCs w:val="32"/>
          <w:highlight w:val="none"/>
          <w:lang w:eastAsia="zh-CN"/>
        </w:rPr>
        <w:t>.</w:t>
      </w:r>
      <w:r>
        <w:rPr>
          <w:rFonts w:hint="eastAsia" w:ascii="Times New Roman" w:hAnsi="Times New Roman" w:eastAsia="仿宋"/>
          <w:kern w:val="0"/>
          <w:sz w:val="32"/>
          <w:szCs w:val="32"/>
          <w:highlight w:val="none"/>
          <w:lang w:val="en-US" w:eastAsia="zh-CN"/>
        </w:rPr>
        <w:t xml:space="preserve"> </w:t>
      </w:r>
      <w:r>
        <w:rPr>
          <w:rFonts w:ascii="Times New Roman" w:hAnsi="Times New Roman" w:eastAsia="仿宋"/>
          <w:sz w:val="32"/>
          <w:szCs w:val="32"/>
          <w:highlight w:val="none"/>
        </w:rPr>
        <w:t>答</w:t>
      </w:r>
      <w:r>
        <w:rPr>
          <w:rFonts w:hint="eastAsia" w:ascii="仿宋" w:hAnsi="仿宋" w:eastAsia="仿宋" w:cs="仿宋"/>
          <w:sz w:val="32"/>
          <w:szCs w:val="32"/>
        </w:rPr>
        <w:t>辩委员会主席宣布答辩结束。</w:t>
      </w:r>
    </w:p>
    <w:p>
      <w:pPr>
        <w:pStyle w:val="2"/>
        <w:keepNext/>
        <w:keepLines/>
        <w:pageBreakBefore w:val="0"/>
        <w:widowControl w:val="0"/>
        <w:numPr>
          <w:ilvl w:val="0"/>
          <w:numId w:val="0"/>
        </w:numPr>
        <w:kinsoku/>
        <w:wordWrap/>
        <w:overflowPunct/>
        <w:topLinePunct w:val="0"/>
        <w:autoSpaceDE/>
        <w:autoSpaceDN/>
        <w:bidi w:val="0"/>
        <w:adjustRightInd/>
        <w:snapToGrid/>
        <w:spacing w:before="0" w:after="0" w:line="560" w:lineRule="atLeast"/>
        <w:jc w:val="center"/>
        <w:textAlignment w:val="auto"/>
        <w:rPr>
          <w:rFonts w:ascii="黑体" w:eastAsia="黑体"/>
          <w:b w:val="0"/>
          <w:bCs/>
          <w:sz w:val="44"/>
          <w:szCs w:val="44"/>
        </w:rPr>
      </w:pPr>
      <w:bookmarkStart w:id="2" w:name="_Toc14635"/>
      <w:r>
        <w:rPr>
          <w:rFonts w:hint="eastAsia" w:ascii="方正小标宋简体" w:hAnsi="方正小标宋简体" w:eastAsia="方正小标宋简体" w:cs="方正小标宋简体"/>
          <w:b w:val="0"/>
          <w:bCs/>
          <w:sz w:val="44"/>
          <w:szCs w:val="44"/>
        </w:rPr>
        <w:t>硕士论文答辩委员会决议书写要求</w:t>
      </w:r>
      <w:bookmarkEnd w:id="2"/>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cs="仿宋"/>
          <w:sz w:val="32"/>
          <w:szCs w:val="32"/>
        </w:rPr>
      </w:pPr>
      <w:r>
        <w:rPr>
          <w:rFonts w:hint="eastAsia" w:ascii="仿宋" w:hAnsi="仿宋" w:eastAsia="仿宋" w:cs="仿宋"/>
          <w:sz w:val="32"/>
          <w:szCs w:val="32"/>
        </w:rPr>
        <w:t>为规范硕士毕业（学位）论文答辩工作，现将硕士毕业（学位）论文答辩委员会决议书写内容与体例要求说明如下，请各单位参照执行：</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cs="仿宋"/>
          <w:sz w:val="32"/>
          <w:szCs w:val="32"/>
        </w:rPr>
      </w:pPr>
      <w:r>
        <w:rPr>
          <w:rFonts w:hint="eastAsia" w:ascii="仿宋" w:hAnsi="仿宋" w:eastAsia="仿宋" w:cs="仿宋"/>
          <w:sz w:val="32"/>
          <w:szCs w:val="32"/>
        </w:rPr>
        <w:t>一、应对硕士毕业（学位）</w:t>
      </w:r>
      <w:r>
        <w:rPr>
          <w:rFonts w:hint="eastAsia" w:ascii="仿宋" w:hAnsi="仿宋" w:eastAsia="仿宋" w:cs="仿宋"/>
          <w:sz w:val="32"/>
          <w:szCs w:val="32"/>
          <w:lang w:val="en-US" w:eastAsia="zh-CN"/>
        </w:rPr>
        <w:t>论文</w:t>
      </w:r>
      <w:r>
        <w:rPr>
          <w:rFonts w:hint="eastAsia" w:ascii="仿宋" w:hAnsi="仿宋" w:eastAsia="仿宋" w:cs="仿宋"/>
          <w:sz w:val="32"/>
          <w:szCs w:val="32"/>
        </w:rPr>
        <w:t>选题是否得当，以及选题的理论和现实意义做出确切评价；</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cs="仿宋"/>
          <w:sz w:val="32"/>
          <w:szCs w:val="32"/>
        </w:rPr>
      </w:pPr>
      <w:r>
        <w:rPr>
          <w:rFonts w:hint="eastAsia" w:ascii="仿宋" w:hAnsi="仿宋" w:eastAsia="仿宋" w:cs="仿宋"/>
          <w:sz w:val="32"/>
          <w:szCs w:val="32"/>
        </w:rPr>
        <w:t>二、应对答辩人是否充分掌握其研究领域的国内外相关文献，以及论文对相关前沿学术思想、观点的归纳和梳理工作做出准确的评价；</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cs="仿宋"/>
          <w:sz w:val="32"/>
          <w:szCs w:val="32"/>
        </w:rPr>
      </w:pPr>
      <w:r>
        <w:rPr>
          <w:rFonts w:hint="eastAsia" w:ascii="仿宋" w:hAnsi="仿宋" w:eastAsia="仿宋" w:cs="仿宋"/>
          <w:sz w:val="32"/>
          <w:szCs w:val="32"/>
        </w:rPr>
        <w:t>三、应说明论文的主要创新内容和方法(一般不超过</w:t>
      </w:r>
      <w:r>
        <w:rPr>
          <w:rFonts w:ascii="Times New Roman" w:hAnsi="Times New Roman" w:eastAsia="仿宋"/>
          <w:sz w:val="32"/>
          <w:szCs w:val="32"/>
        </w:rPr>
        <w:t>3</w:t>
      </w:r>
      <w:r>
        <w:rPr>
          <w:rFonts w:hint="eastAsia" w:ascii="仿宋" w:hAnsi="仿宋" w:eastAsia="仿宋" w:cs="仿宋"/>
          <w:sz w:val="32"/>
          <w:szCs w:val="32"/>
        </w:rPr>
        <w:t>点)，并且明示其创新观点和结论；</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cs="仿宋"/>
          <w:sz w:val="32"/>
          <w:szCs w:val="32"/>
        </w:rPr>
      </w:pPr>
      <w:r>
        <w:rPr>
          <w:rFonts w:hint="eastAsia" w:ascii="仿宋" w:hAnsi="仿宋" w:eastAsia="仿宋" w:cs="仿宋"/>
          <w:sz w:val="32"/>
          <w:szCs w:val="32"/>
        </w:rPr>
        <w:t>四、应对论文的结构、逻辑、行文，及对数据资料的占有和写作是否规范做出评价，并说明其是否达到硕士毕业（学位）论文应有的学术水平；</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cs="仿宋"/>
          <w:sz w:val="32"/>
          <w:szCs w:val="32"/>
        </w:rPr>
      </w:pPr>
      <w:r>
        <w:rPr>
          <w:rFonts w:hint="eastAsia" w:ascii="仿宋" w:hAnsi="仿宋" w:eastAsia="仿宋" w:cs="仿宋"/>
          <w:sz w:val="32"/>
          <w:szCs w:val="32"/>
        </w:rPr>
        <w:t>五、必须指出论文的缺陷与不足，或提出继续深入研究的努力方向；</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cs="仿宋"/>
          <w:sz w:val="32"/>
          <w:szCs w:val="32"/>
        </w:rPr>
      </w:pPr>
      <w:r>
        <w:rPr>
          <w:rFonts w:hint="eastAsia" w:ascii="仿宋" w:hAnsi="仿宋" w:eastAsia="仿宋" w:cs="仿宋"/>
          <w:sz w:val="32"/>
          <w:szCs w:val="32"/>
        </w:rPr>
        <w:t>六、结尾部分的体例</w:t>
      </w:r>
    </w:p>
    <w:p>
      <w:pPr>
        <w:keepNext w:val="0"/>
        <w:keepLines w:val="0"/>
        <w:pageBreakBefore w:val="0"/>
        <w:widowControl w:val="0"/>
        <w:kinsoku/>
        <w:wordWrap/>
        <w:overflowPunct/>
        <w:topLinePunct w:val="0"/>
        <w:autoSpaceDE/>
        <w:autoSpaceDN/>
        <w:bidi w:val="0"/>
        <w:adjustRightInd/>
        <w:snapToGrid/>
        <w:spacing w:line="560" w:lineRule="atLeast"/>
        <w:ind w:left="0" w:leftChars="0" w:right="23" w:rightChars="11" w:firstLine="640" w:firstLineChars="200"/>
        <w:textAlignment w:val="auto"/>
      </w:pPr>
      <w:r>
        <w:rPr>
          <w:rFonts w:hint="eastAsia" w:ascii="楷体" w:hAnsi="楷体" w:eastAsia="楷体" w:cs="楷体"/>
          <w:sz w:val="32"/>
          <w:szCs w:val="32"/>
          <w:highlight w:val="none"/>
        </w:rPr>
        <w:t>答辩人</w:t>
      </w:r>
      <w:r>
        <w:rPr>
          <w:rFonts w:hint="eastAsia" w:ascii="楷体" w:hAnsi="楷体" w:eastAsia="楷体" w:cs="楷体"/>
          <w:sz w:val="32"/>
          <w:szCs w:val="32"/>
          <w:highlight w:val="none"/>
          <w:lang w:val="en-US" w:eastAsia="zh-CN"/>
        </w:rPr>
        <w:t>汇报了</w:t>
      </w:r>
      <w:r>
        <w:rPr>
          <w:rFonts w:hint="eastAsia" w:ascii="楷体" w:hAnsi="楷体" w:eastAsia="楷体" w:cs="楷体"/>
          <w:sz w:val="32"/>
          <w:szCs w:val="32"/>
          <w:highlight w:val="none"/>
        </w:rPr>
        <w:t>毕业（学位）论文</w:t>
      </w:r>
      <w:r>
        <w:rPr>
          <w:rFonts w:hint="eastAsia" w:ascii="楷体" w:hAnsi="楷体" w:eastAsia="楷体" w:cs="楷体"/>
          <w:sz w:val="32"/>
          <w:szCs w:val="32"/>
          <w:highlight w:val="none"/>
          <w:lang w:val="en-US" w:eastAsia="zh-CN"/>
        </w:rPr>
        <w:t>的</w:t>
      </w:r>
      <w:r>
        <w:rPr>
          <w:rFonts w:hint="eastAsia" w:ascii="楷体" w:hAnsi="楷体" w:eastAsia="楷体" w:cs="楷体"/>
          <w:sz w:val="32"/>
          <w:szCs w:val="32"/>
          <w:highlight w:val="none"/>
        </w:rPr>
        <w:t>主要内容，并回答答辩委员</w:t>
      </w:r>
      <w:r>
        <w:rPr>
          <w:rFonts w:hint="eastAsia" w:ascii="楷体" w:hAnsi="楷体" w:eastAsia="楷体" w:cs="楷体"/>
          <w:sz w:val="32"/>
          <w:szCs w:val="32"/>
          <w:highlight w:val="none"/>
          <w:lang w:val="en-US" w:eastAsia="zh-CN"/>
        </w:rPr>
        <w:t>的提问。</w:t>
      </w:r>
      <w:r>
        <w:rPr>
          <w:rFonts w:hint="eastAsia" w:ascii="楷体" w:hAnsi="楷体" w:eastAsia="楷体" w:cs="楷体"/>
          <w:sz w:val="32"/>
          <w:szCs w:val="32"/>
        </w:rPr>
        <w:t>答辩委员会（共____人），经评议和无记名投票表决，一致(或____票同意、____票不同意</w:t>
      </w:r>
      <w:r>
        <w:rPr>
          <w:rFonts w:hint="eastAsia" w:ascii="楷体" w:hAnsi="楷体" w:eastAsia="楷体" w:cs="楷体"/>
          <w:sz w:val="32"/>
          <w:szCs w:val="32"/>
          <w:lang w:eastAsia="zh-CN"/>
        </w:rPr>
        <w:t>、</w:t>
      </w:r>
      <w:r>
        <w:rPr>
          <w:rFonts w:hint="eastAsia" w:ascii="楷体" w:hAnsi="楷体" w:eastAsia="楷体" w:cs="楷体"/>
          <w:sz w:val="32"/>
          <w:szCs w:val="32"/>
        </w:rPr>
        <w:t>____票</w:t>
      </w:r>
      <w:r>
        <w:rPr>
          <w:rFonts w:hint="eastAsia" w:ascii="楷体" w:hAnsi="楷体" w:eastAsia="楷体" w:cs="楷体"/>
          <w:sz w:val="32"/>
          <w:szCs w:val="32"/>
          <w:highlight w:val="none"/>
        </w:rPr>
        <w:t>弃权)</w:t>
      </w:r>
      <w:r>
        <w:rPr>
          <w:rFonts w:hint="eastAsia" w:ascii="楷体" w:hAnsi="楷体" w:eastAsia="楷体" w:cs="楷体"/>
          <w:sz w:val="32"/>
          <w:szCs w:val="32"/>
          <w:highlight w:val="none"/>
        </w:rPr>
        <w:sym w:font="Wingdings" w:char="00A8"/>
      </w:r>
      <w:r>
        <w:rPr>
          <w:rFonts w:hint="eastAsia" w:ascii="楷体" w:hAnsi="楷体" w:eastAsia="楷体" w:cs="楷体"/>
          <w:sz w:val="32"/>
          <w:szCs w:val="32"/>
          <w:highlight w:val="none"/>
        </w:rPr>
        <w:t>通过</w:t>
      </w:r>
      <w:r>
        <w:rPr>
          <w:rFonts w:hint="eastAsia" w:ascii="楷体" w:hAnsi="楷体" w:eastAsia="楷体" w:cs="楷体"/>
          <w:sz w:val="32"/>
          <w:szCs w:val="32"/>
          <w:highlight w:val="none"/>
          <w:lang w:val="en-US" w:eastAsia="zh-CN"/>
        </w:rPr>
        <w:t>/</w:t>
      </w:r>
      <w:r>
        <w:rPr>
          <w:rFonts w:hint="eastAsia" w:ascii="楷体" w:hAnsi="楷体" w:eastAsia="楷体" w:cs="楷体"/>
          <w:sz w:val="32"/>
          <w:szCs w:val="32"/>
          <w:highlight w:val="none"/>
          <w:lang w:val="en-US" w:eastAsia="zh-CN"/>
        </w:rPr>
        <w:sym w:font="Wingdings" w:char="00A8"/>
      </w:r>
      <w:r>
        <w:rPr>
          <w:rFonts w:hint="eastAsia" w:ascii="楷体" w:hAnsi="楷体" w:eastAsia="楷体" w:cs="楷体"/>
          <w:sz w:val="32"/>
          <w:szCs w:val="32"/>
          <w:highlight w:val="none"/>
          <w:lang w:val="en-US" w:eastAsia="zh-CN"/>
        </w:rPr>
        <w:t>不通过</w:t>
      </w:r>
      <w:r>
        <w:rPr>
          <w:rFonts w:hint="eastAsia" w:ascii="楷体" w:hAnsi="楷体" w:eastAsia="楷体" w:cs="楷体"/>
          <w:sz w:val="32"/>
          <w:szCs w:val="32"/>
        </w:rPr>
        <w:t>该论文答辩，</w:t>
      </w:r>
      <w:r>
        <w:rPr>
          <w:rFonts w:hint="eastAsia" w:ascii="楷体" w:hAnsi="楷体" w:eastAsia="楷体" w:cs="楷体"/>
          <w:sz w:val="32"/>
          <w:szCs w:val="32"/>
          <w:highlight w:val="none"/>
        </w:rPr>
        <w:t>并建议</w:t>
      </w:r>
      <w:r>
        <w:rPr>
          <w:rFonts w:hint="eastAsia" w:ascii="楷体" w:hAnsi="楷体" w:eastAsia="楷体" w:cs="楷体"/>
          <w:sz w:val="32"/>
          <w:szCs w:val="32"/>
        </w:rPr>
        <w:t>校学位评定委员会授予其__</w:t>
      </w:r>
      <w:r>
        <w:rPr>
          <w:rFonts w:hint="eastAsia" w:ascii="楷体" w:hAnsi="楷体" w:eastAsia="楷体" w:cs="楷体"/>
          <w:sz w:val="32"/>
          <w:szCs w:val="32"/>
          <w:lang w:val="en-US" w:eastAsia="zh-CN"/>
        </w:rPr>
        <w:t>__</w:t>
      </w:r>
      <w:r>
        <w:rPr>
          <w:rFonts w:hint="eastAsia" w:ascii="楷体" w:hAnsi="楷体" w:eastAsia="楷体" w:cs="楷体"/>
          <w:sz w:val="32"/>
          <w:szCs w:val="32"/>
        </w:rPr>
        <w:t>__学硕士学位。</w:t>
      </w:r>
    </w:p>
    <w:sectPr>
      <w:pgSz w:w="11906" w:h="16838"/>
      <w:pgMar w:top="1701" w:right="1474" w:bottom="1701" w:left="1587" w:header="851" w:footer="992" w:gutter="0"/>
      <w:cols w:space="0" w:num="1"/>
      <w:rtlGutter w:val="0"/>
      <w:docGrid w:type="lines"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5C463E0B-52CC-4BDD-8F8C-172D69E4B753}"/>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5BED5367-B3FC-4BC5-B1BF-4BF414A94E9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3" w:fontKey="{FB6CD690-AD02-4E82-BECC-BA527B797D92}"/>
  </w:font>
  <w:font w:name="方正小标宋简体">
    <w:panose1 w:val="03000509000000000000"/>
    <w:charset w:val="86"/>
    <w:family w:val="auto"/>
    <w:pitch w:val="default"/>
    <w:sig w:usb0="00000001" w:usb1="080E0000" w:usb2="00000000" w:usb3="00000000" w:csb0="00040000" w:csb1="00000000"/>
    <w:embedRegular r:id="rId4" w:fontKey="{34DDFD23-3A68-40C9-B2F7-F0D63BB2DA2C}"/>
  </w:font>
  <w:font w:name="楷体">
    <w:panose1 w:val="02010609060101010101"/>
    <w:charset w:val="86"/>
    <w:family w:val="modern"/>
    <w:pitch w:val="default"/>
    <w:sig w:usb0="800002BF" w:usb1="38CF7CFA" w:usb2="00000016" w:usb3="00000000" w:csb0="00040001" w:csb1="00000000"/>
    <w:embedRegular r:id="rId5" w:fontKey="{512C315C-D3C8-41D3-8398-D2682A29CA5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D8AA04"/>
    <w:multiLevelType w:val="multilevel"/>
    <w:tmpl w:val="99D8AA04"/>
    <w:lvl w:ilvl="0" w:tentative="0">
      <w:start w:val="1"/>
      <w:numFmt w:val="chineseCounting"/>
      <w:pStyle w:val="2"/>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AA77188B"/>
    <w:multiLevelType w:val="singleLevel"/>
    <w:tmpl w:val="AA77188B"/>
    <w:lvl w:ilvl="0" w:tentative="0">
      <w:start w:val="1"/>
      <w:numFmt w:val="decimal"/>
      <w:suff w:val="space"/>
      <w:lvlText w:val="%1."/>
      <w:lvlJc w:val="left"/>
    </w:lvl>
  </w:abstractNum>
  <w:abstractNum w:abstractNumId="2">
    <w:nsid w:val="76737D12"/>
    <w:multiLevelType w:val="singleLevel"/>
    <w:tmpl w:val="76737D12"/>
    <w:lvl w:ilvl="0" w:tentative="0">
      <w:start w:val="4"/>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wNjc0MTA1NDNjNjFhNDRjNDUyY2ViZGE4ZTYxNzcifQ=="/>
  </w:docVars>
  <w:rsids>
    <w:rsidRoot w:val="0042539E"/>
    <w:rsid w:val="00182CFD"/>
    <w:rsid w:val="0019136A"/>
    <w:rsid w:val="00196C5F"/>
    <w:rsid w:val="00197CED"/>
    <w:rsid w:val="003847C4"/>
    <w:rsid w:val="0042539E"/>
    <w:rsid w:val="00433992"/>
    <w:rsid w:val="00461BDB"/>
    <w:rsid w:val="004C0701"/>
    <w:rsid w:val="00604CC2"/>
    <w:rsid w:val="00625503"/>
    <w:rsid w:val="00977FB9"/>
    <w:rsid w:val="009F1AD4"/>
    <w:rsid w:val="00B40D9E"/>
    <w:rsid w:val="00C058A5"/>
    <w:rsid w:val="00F32C42"/>
    <w:rsid w:val="00FE280B"/>
    <w:rsid w:val="01C7267B"/>
    <w:rsid w:val="03D27ED9"/>
    <w:rsid w:val="05784BFF"/>
    <w:rsid w:val="0BE34556"/>
    <w:rsid w:val="0CD912DF"/>
    <w:rsid w:val="0D907DC5"/>
    <w:rsid w:val="10577D87"/>
    <w:rsid w:val="10A36062"/>
    <w:rsid w:val="11BF4ACC"/>
    <w:rsid w:val="149A6190"/>
    <w:rsid w:val="16BE28B2"/>
    <w:rsid w:val="18F00322"/>
    <w:rsid w:val="1A807414"/>
    <w:rsid w:val="1AFC6A9A"/>
    <w:rsid w:val="1B804E63"/>
    <w:rsid w:val="1CBF1468"/>
    <w:rsid w:val="1E1D56A5"/>
    <w:rsid w:val="1ED96040"/>
    <w:rsid w:val="1F1C595D"/>
    <w:rsid w:val="1F996754"/>
    <w:rsid w:val="20E22BD6"/>
    <w:rsid w:val="22AA26B3"/>
    <w:rsid w:val="23B4160A"/>
    <w:rsid w:val="27D57766"/>
    <w:rsid w:val="2D085772"/>
    <w:rsid w:val="2D2D6F87"/>
    <w:rsid w:val="2DCE6B44"/>
    <w:rsid w:val="2E074BC8"/>
    <w:rsid w:val="2FF15127"/>
    <w:rsid w:val="309D4424"/>
    <w:rsid w:val="39953421"/>
    <w:rsid w:val="39C90037"/>
    <w:rsid w:val="39ED1F78"/>
    <w:rsid w:val="3C35282D"/>
    <w:rsid w:val="3D611C46"/>
    <w:rsid w:val="3DF17618"/>
    <w:rsid w:val="40786F2E"/>
    <w:rsid w:val="40E816EB"/>
    <w:rsid w:val="439E6E16"/>
    <w:rsid w:val="44983428"/>
    <w:rsid w:val="454B3FF6"/>
    <w:rsid w:val="45B1654F"/>
    <w:rsid w:val="4789485F"/>
    <w:rsid w:val="49B22896"/>
    <w:rsid w:val="4A3D2AA8"/>
    <w:rsid w:val="4D276053"/>
    <w:rsid w:val="4DA70F16"/>
    <w:rsid w:val="504A7CCC"/>
    <w:rsid w:val="53772239"/>
    <w:rsid w:val="54CC5154"/>
    <w:rsid w:val="555B39F2"/>
    <w:rsid w:val="567479AC"/>
    <w:rsid w:val="59C46185"/>
    <w:rsid w:val="5F9E7352"/>
    <w:rsid w:val="605B738C"/>
    <w:rsid w:val="62EE44E7"/>
    <w:rsid w:val="682353A8"/>
    <w:rsid w:val="6B0375AF"/>
    <w:rsid w:val="6B22430A"/>
    <w:rsid w:val="6EA15191"/>
    <w:rsid w:val="6F4232AC"/>
    <w:rsid w:val="6FCA2B56"/>
    <w:rsid w:val="71F92EA9"/>
    <w:rsid w:val="734770E2"/>
    <w:rsid w:val="7436562E"/>
    <w:rsid w:val="77DD3633"/>
    <w:rsid w:val="7BEF78FA"/>
    <w:rsid w:val="7C216C18"/>
    <w:rsid w:val="7C907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keepNext/>
      <w:keepLines/>
      <w:numPr>
        <w:ilvl w:val="0"/>
        <w:numId w:val="1"/>
      </w:numPr>
      <w:spacing w:before="340" w:after="330" w:line="576" w:lineRule="auto"/>
      <w:outlineLvl w:val="0"/>
    </w:pPr>
    <w:rPr>
      <w:b/>
      <w:kern w:val="44"/>
      <w:sz w:val="44"/>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1386</Words>
  <Characters>1417</Characters>
  <Lines>12</Lines>
  <Paragraphs>3</Paragraphs>
  <TotalTime>2</TotalTime>
  <ScaleCrop>false</ScaleCrop>
  <LinksUpToDate>false</LinksUpToDate>
  <CharactersWithSpaces>1426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2020-02-14T07:42:00Z</dcterms:created>
  <dc:creator>yjsy</dc:creator>
  <cp:lastModifiedBy>周帆</cp:lastModifiedBy>
  <dcterms:modified xsi:type="dcterms:W3CDTF">2024-03-06T09:05:37Z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3761A992F4F441149160E8D0C3B7879B</vt:lpwstr>
  </property>
</Properties>
</file>